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B11E">
      <w:pPr>
        <w:pStyle w:val="34"/>
        <w:bidi w:val="0"/>
        <w:adjustRightInd/>
        <w:snapToGrid/>
        <w:rPr>
          <w:rFonts w:hint="eastAsia" w:cs="Times New Roman"/>
          <w:snapToGrid/>
          <w:sz w:val="32"/>
          <w:szCs w:val="32"/>
          <w:lang w:eastAsia="zh-CN"/>
        </w:rPr>
      </w:pPr>
      <w:r>
        <w:rPr>
          <w:rFonts w:hint="eastAsia" w:cs="Times New Roman"/>
          <w:snapToGrid/>
          <w:sz w:val="32"/>
          <w:szCs w:val="32"/>
          <w:lang w:eastAsia="zh-CN"/>
        </w:rPr>
        <w:t>凤城市中威矿业有限责任公司白云石加工生产建设项目</w:t>
      </w:r>
    </w:p>
    <w:p w14:paraId="2E6E6C67">
      <w:pPr>
        <w:pStyle w:val="34"/>
        <w:bidi w:val="0"/>
        <w:adjustRightInd/>
        <w:snapToGrid/>
        <w:rPr>
          <w:rFonts w:hint="eastAsia" w:cs="Times New Roman"/>
          <w:snapToGrid/>
          <w:sz w:val="32"/>
          <w:szCs w:val="32"/>
          <w:lang w:eastAsia="zh-CN"/>
        </w:rPr>
      </w:pPr>
      <w:r>
        <w:rPr>
          <w:rFonts w:hint="eastAsia" w:cs="Times New Roman"/>
          <w:snapToGrid/>
          <w:sz w:val="32"/>
          <w:szCs w:val="32"/>
          <w:lang w:eastAsia="zh-CN"/>
        </w:rPr>
        <w:t>一期工程</w:t>
      </w:r>
      <w:r>
        <w:rPr>
          <w:rFonts w:hint="eastAsia" w:cs="Times New Roman"/>
          <w:snapToGrid/>
          <w:sz w:val="32"/>
          <w:szCs w:val="32"/>
          <w:lang w:val="en-US" w:eastAsia="zh-CN"/>
        </w:rPr>
        <w:t>建设</w:t>
      </w:r>
      <w:r>
        <w:rPr>
          <w:rFonts w:hint="eastAsia" w:cs="Times New Roman"/>
          <w:snapToGrid/>
          <w:sz w:val="32"/>
          <w:szCs w:val="32"/>
          <w:lang w:eastAsia="zh-CN"/>
        </w:rPr>
        <w:t>项目竣工环境保护验收意见</w:t>
      </w:r>
    </w:p>
    <w:p w14:paraId="348434E6">
      <w:pPr>
        <w:pStyle w:val="35"/>
        <w:bidi w:val="0"/>
        <w:rPr>
          <w:rFonts w:hint="eastAsia"/>
          <w:highlight w:val="none"/>
        </w:rPr>
      </w:pPr>
      <w:r>
        <w:rPr>
          <w:rFonts w:hint="eastAsia" w:cs="Times New Roman"/>
          <w:highlight w:val="none"/>
          <w:lang w:eastAsia="zh-CN"/>
        </w:rPr>
        <w:t>202</w:t>
      </w:r>
      <w:r>
        <w:rPr>
          <w:rFonts w:hint="eastAsia" w:cs="Times New Roman"/>
          <w:highlight w:val="none"/>
          <w:lang w:val="en-US" w:eastAsia="zh-CN"/>
        </w:rPr>
        <w:t>6</w:t>
      </w:r>
      <w:r>
        <w:rPr>
          <w:rFonts w:hint="eastAsia" w:cs="Times New Roman"/>
          <w:highlight w:val="none"/>
          <w:lang w:eastAsia="zh-CN"/>
        </w:rPr>
        <w:t>年</w:t>
      </w:r>
      <w:r>
        <w:rPr>
          <w:rFonts w:hint="eastAsia" w:cs="Times New Roman"/>
          <w:highlight w:val="none"/>
          <w:lang w:val="en-US" w:eastAsia="zh-CN"/>
        </w:rPr>
        <w:t>6</w:t>
      </w:r>
      <w:r>
        <w:rPr>
          <w:rFonts w:hint="eastAsia" w:cs="Times New Roman"/>
          <w:highlight w:val="none"/>
          <w:lang w:eastAsia="zh-CN"/>
        </w:rPr>
        <w:t>月</w:t>
      </w:r>
      <w:r>
        <w:rPr>
          <w:rFonts w:hint="eastAsia" w:cs="Times New Roman"/>
          <w:highlight w:val="none"/>
          <w:lang w:val="en-US" w:eastAsia="zh-CN"/>
        </w:rPr>
        <w:t>3</w:t>
      </w:r>
      <w:r>
        <w:rPr>
          <w:rFonts w:hint="eastAsia" w:cs="Times New Roman"/>
          <w:highlight w:val="none"/>
          <w:lang w:eastAsia="zh-CN"/>
        </w:rPr>
        <w:t>日，</w:t>
      </w:r>
      <w:r>
        <w:rPr>
          <w:rFonts w:hint="eastAsia"/>
          <w:highlight w:val="none"/>
          <w:lang w:eastAsia="zh-CN"/>
        </w:rPr>
        <w:t>凤城市中威矿业有限责任公司</w:t>
      </w:r>
      <w:r>
        <w:rPr>
          <w:rFonts w:hint="eastAsia"/>
          <w:highlight w:val="none"/>
        </w:rPr>
        <w:t>主持召开了</w:t>
      </w:r>
      <w:r>
        <w:rPr>
          <w:rFonts w:hint="eastAsia"/>
          <w:highlight w:val="none"/>
          <w:lang w:eastAsia="zh-CN"/>
        </w:rPr>
        <w:t>凤城市中威矿业有限责任公司白云石加工生产建设项目一期工程建设项目</w:t>
      </w:r>
      <w:r>
        <w:rPr>
          <w:rFonts w:hint="eastAsia"/>
          <w:highlight w:val="none"/>
        </w:rPr>
        <w:t>竣工环保验收审查会。参加会议的有</w:t>
      </w:r>
      <w:r>
        <w:rPr>
          <w:rFonts w:hint="eastAsia"/>
          <w:highlight w:val="none"/>
          <w:lang w:eastAsia="zh-CN"/>
        </w:rPr>
        <w:t>凤城市中威矿业有限责任公司</w:t>
      </w:r>
      <w:r>
        <w:rPr>
          <w:rFonts w:hint="eastAsia"/>
          <w:highlight w:val="none"/>
          <w:lang w:val="en-US" w:eastAsia="zh-CN"/>
        </w:rPr>
        <w:t>项目负责人</w:t>
      </w:r>
      <w:r>
        <w:rPr>
          <w:rFonts w:hint="eastAsia"/>
          <w:highlight w:val="none"/>
          <w:lang w:eastAsia="zh-CN"/>
        </w:rPr>
        <w:t>、</w:t>
      </w:r>
      <w:r>
        <w:rPr>
          <w:rFonts w:hint="eastAsia"/>
          <w:highlight w:val="none"/>
          <w:lang w:val="en-US" w:eastAsia="zh-CN"/>
        </w:rPr>
        <w:t>企业</w:t>
      </w:r>
      <w:r>
        <w:rPr>
          <w:rFonts w:hint="eastAsia"/>
          <w:highlight w:val="none"/>
        </w:rPr>
        <w:t>聘请的</w:t>
      </w:r>
      <w:r>
        <w:rPr>
          <w:rFonts w:hint="eastAsia"/>
          <w:highlight w:val="none"/>
          <w:lang w:val="en-US" w:eastAsia="zh-CN"/>
        </w:rPr>
        <w:t>3位</w:t>
      </w:r>
      <w:r>
        <w:rPr>
          <w:rFonts w:hint="eastAsia"/>
          <w:highlight w:val="none"/>
        </w:rPr>
        <w:t>专家和</w:t>
      </w:r>
      <w:r>
        <w:rPr>
          <w:rFonts w:hint="eastAsia"/>
          <w:highlight w:val="none"/>
          <w:lang w:eastAsia="zh-CN"/>
        </w:rPr>
        <w:t>丹东市精益理化测试有限责任公司</w:t>
      </w:r>
      <w:r>
        <w:rPr>
          <w:rFonts w:hint="eastAsia"/>
          <w:highlight w:val="none"/>
          <w:lang w:val="en-US" w:eastAsia="zh-CN"/>
        </w:rPr>
        <w:t>1位代表</w:t>
      </w:r>
      <w:r>
        <w:rPr>
          <w:rFonts w:hint="eastAsia"/>
          <w:highlight w:val="none"/>
        </w:rPr>
        <w:t>等。验收</w:t>
      </w:r>
      <w:r>
        <w:rPr>
          <w:rFonts w:hint="eastAsia"/>
          <w:highlight w:val="none"/>
          <w:lang w:val="en-US" w:eastAsia="zh-CN"/>
        </w:rPr>
        <w:t>专家</w:t>
      </w:r>
      <w:r>
        <w:rPr>
          <w:rFonts w:hint="eastAsia"/>
          <w:highlight w:val="none"/>
        </w:rPr>
        <w:t>组和与会代表检查了项目的建设和运行情况，审阅核实了有关资料，听取了该项目环保执行情况和项目竣工验收监测情况的汇报，提出了补充、完善、修改意见。经过这段时间的补充完善，现已达到验收条件，经验收组研究讨论，形成验收意见如下：</w:t>
      </w:r>
    </w:p>
    <w:p w14:paraId="2FF06306">
      <w:pPr>
        <w:pStyle w:val="3"/>
        <w:numPr>
          <w:ilvl w:val="0"/>
          <w:numId w:val="1"/>
        </w:numPr>
        <w:bidi w:val="0"/>
        <w:rPr>
          <w:rFonts w:hint="eastAsia"/>
        </w:rPr>
      </w:pPr>
      <w:r>
        <w:rPr>
          <w:rFonts w:hint="eastAsia"/>
        </w:rPr>
        <w:t>工程建设内容的基本情况</w:t>
      </w:r>
    </w:p>
    <w:p w14:paraId="6A6058D0">
      <w:pPr>
        <w:pStyle w:val="4"/>
        <w:bidi w:val="0"/>
        <w:rPr>
          <w:rFonts w:hint="eastAsia"/>
          <w:sz w:val="28"/>
          <w:szCs w:val="28"/>
          <w:lang w:eastAsia="zh-CN"/>
        </w:rPr>
      </w:pPr>
      <w:r>
        <w:rPr>
          <w:rFonts w:hint="eastAsia"/>
          <w:sz w:val="28"/>
          <w:szCs w:val="28"/>
          <w:lang w:eastAsia="zh-CN"/>
        </w:rPr>
        <w:t>本项目中心的经纬度坐标为 123°58′24.924″，40°37′2.424″，项目坐落于凤城市刘家河镇秋木庄村黄岭后山。厂界外北侧与南侧均为山地；东侧为中威矿业有限责任公司白云石矿山，西侧与四道河村耕地隔界相望。</w:t>
      </w:r>
    </w:p>
    <w:p w14:paraId="30DB748D">
      <w:pPr>
        <w:pStyle w:val="4"/>
        <w:bidi w:val="0"/>
        <w:rPr>
          <w:rFonts w:hint="eastAsia"/>
          <w:sz w:val="28"/>
          <w:szCs w:val="28"/>
          <w:lang w:eastAsia="zh-CN"/>
        </w:rPr>
      </w:pPr>
      <w:r>
        <w:rPr>
          <w:rFonts w:hint="eastAsia"/>
          <w:sz w:val="28"/>
          <w:szCs w:val="28"/>
          <w:lang w:eastAsia="zh-CN"/>
        </w:rPr>
        <w:t>本项目占地面积达2800平方米，建筑面积约为1900平方米。其主要建筑包括一座面积为1800平方米的库房以及一座建筑面积为100平方米的上料口。本次验收内容为一期工程，主要建设内容为粗加工生产设施，生产设备分布在厂界内北侧区域。</w:t>
      </w:r>
    </w:p>
    <w:p w14:paraId="60162C60">
      <w:pPr>
        <w:pStyle w:val="4"/>
        <w:bidi w:val="0"/>
        <w:rPr>
          <w:rFonts w:hint="eastAsia" w:ascii="Times New Roman" w:hAnsi="Times New Roman" w:eastAsia="宋体"/>
          <w:sz w:val="28"/>
          <w:szCs w:val="28"/>
          <w:lang w:val="en-US" w:eastAsia="zh-CN"/>
        </w:rPr>
      </w:pPr>
      <w:r>
        <w:rPr>
          <w:rFonts w:hint="eastAsia"/>
          <w:sz w:val="28"/>
          <w:szCs w:val="28"/>
          <w:lang w:eastAsia="zh-CN"/>
        </w:rPr>
        <w:t>本项目实际投资额为180万元，其中环保投资额达41万元，主要用于废气、废水、噪声以及固体废弃物污染防治等方面，环保投资占总投资的比例为22.8%。</w:t>
      </w:r>
    </w:p>
    <w:p w14:paraId="60CBBB17">
      <w:pPr>
        <w:pStyle w:val="3"/>
        <w:numPr>
          <w:ilvl w:val="0"/>
          <w:numId w:val="1"/>
        </w:numPr>
        <w:bidi w:val="0"/>
        <w:rPr>
          <w:rFonts w:hint="eastAsia"/>
        </w:rPr>
      </w:pPr>
      <w:r>
        <w:rPr>
          <w:rFonts w:hint="eastAsia"/>
        </w:rPr>
        <w:t>验收范围及内容</w:t>
      </w:r>
    </w:p>
    <w:p w14:paraId="11EE2D40">
      <w:pPr>
        <w:pStyle w:val="4"/>
        <w:bidi w:val="0"/>
        <w:rPr>
          <w:rFonts w:hint="eastAsia" w:ascii="Times New Roman" w:hAnsi="Times New Roman" w:cs="Times New Roman"/>
          <w:highlight w:val="none"/>
          <w:lang w:val="en-US" w:eastAsia="zh-CN"/>
        </w:rPr>
      </w:pPr>
      <w:r>
        <w:rPr>
          <w:rFonts w:hint="eastAsia"/>
          <w:sz w:val="28"/>
          <w:szCs w:val="28"/>
          <w:lang w:val="en-US" w:eastAsia="zh-CN"/>
        </w:rPr>
        <w:t>《凤城市中威矿业有限责任公司白云石加工生产建设项目建设项目环境影响报告表》及《关于凤城市中威矿业有限责任公司白云石加工生产建设项目建设项目环境影响报告表的批复》（凤环审〔2018〕149号）</w:t>
      </w:r>
      <w:r>
        <w:rPr>
          <w:rFonts w:hint="eastAsia"/>
          <w:sz w:val="28"/>
          <w:szCs w:val="28"/>
        </w:rPr>
        <w:t>规定的工程建设内容</w:t>
      </w:r>
      <w:r>
        <w:rPr>
          <w:rFonts w:hint="eastAsia"/>
          <w:sz w:val="28"/>
          <w:szCs w:val="28"/>
          <w:lang w:val="en-US" w:eastAsia="zh-CN"/>
        </w:rPr>
        <w:t>。</w:t>
      </w:r>
    </w:p>
    <w:p w14:paraId="68D12CE1">
      <w:pPr>
        <w:pStyle w:val="3"/>
        <w:numPr>
          <w:ilvl w:val="0"/>
          <w:numId w:val="1"/>
        </w:numPr>
        <w:bidi w:val="0"/>
        <w:rPr>
          <w:rFonts w:hint="eastAsia"/>
        </w:rPr>
      </w:pPr>
      <w:r>
        <w:rPr>
          <w:rFonts w:hint="eastAsia"/>
        </w:rPr>
        <w:t>污染控制措施执行情况</w:t>
      </w:r>
    </w:p>
    <w:p w14:paraId="2BFB55B2">
      <w:pPr>
        <w:pStyle w:val="5"/>
        <w:bidi w:val="0"/>
        <w:rPr>
          <w:rFonts w:hint="eastAsia"/>
          <w:lang w:val="en-US" w:eastAsia="zh-CN"/>
        </w:rPr>
      </w:pPr>
      <w:r>
        <w:rPr>
          <w:rFonts w:hint="eastAsia"/>
          <w:lang w:val="en-US" w:eastAsia="zh-CN"/>
        </w:rPr>
        <w:t>（一）大气污染物</w:t>
      </w:r>
    </w:p>
    <w:p w14:paraId="79D909CF">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本项目运营期间未新增取暖锅炉，无锅炉废气产生。生产过程中产生的废气主要为：投料、破碎和筛分均会产生无组织粉尘，此外装卸、传送带以及运输过程亦会产生无组织粉尘。</w:t>
      </w:r>
    </w:p>
    <w:p w14:paraId="2FEC081D">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（1）投料</w:t>
      </w:r>
    </w:p>
    <w:p w14:paraId="7B0B226A">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投料过程仅在装卸过程产生少量无组织粉尘，其余内容均为封闭空间。</w:t>
      </w:r>
    </w:p>
    <w:p w14:paraId="1E17D94A">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（2）破碎</w:t>
      </w:r>
    </w:p>
    <w:p w14:paraId="00FAF70B">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破碎机运行时产生破碎粉尘，采取的环保措施为：1）安装彩钢封闭集气罩，2）配备布袋除尘器。</w:t>
      </w:r>
    </w:p>
    <w:p w14:paraId="38D48D44">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（3）筛分</w:t>
      </w:r>
    </w:p>
    <w:p w14:paraId="63A72556">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筛分过程产生筛分粉尘，采取的环保措施为：1）安装彩钢封闭集气罩，2）配备布袋除尘器。</w:t>
      </w:r>
    </w:p>
    <w:p w14:paraId="1C334A70">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（4）传送带</w:t>
      </w:r>
    </w:p>
    <w:p w14:paraId="6F554730">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传送带运行时产生粉尘，采用全遮盖形式降低污染物排放。</w:t>
      </w:r>
    </w:p>
    <w:p w14:paraId="40E08501">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（5）装卸及运输</w:t>
      </w:r>
    </w:p>
    <w:p w14:paraId="17FF8139">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上料及车辆运输过程不定期产生无组织粉尘，通过选用符合环保排放标准的运输车辆，防雨布遮盖以及厂区内限速等措施降低无组织排放。</w:t>
      </w:r>
    </w:p>
    <w:p w14:paraId="7C0A6E95">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（6）其他</w:t>
      </w:r>
    </w:p>
    <w:p w14:paraId="01BF3B1A">
      <w:pPr>
        <w:pStyle w:val="4"/>
        <w:bidi w:val="0"/>
        <w:rPr>
          <w:rFonts w:hint="default" w:ascii="Times New Roman" w:hAnsi="Times New Roman" w:eastAsia="宋体"/>
          <w:sz w:val="28"/>
          <w:szCs w:val="28"/>
          <w:lang w:val="en-US" w:eastAsia="zh-CN"/>
        </w:rPr>
      </w:pPr>
      <w:r>
        <w:rPr>
          <w:rFonts w:hint="eastAsia" w:ascii="Times New Roman" w:hAnsi="Times New Roman" w:eastAsia="宋体"/>
          <w:sz w:val="28"/>
          <w:szCs w:val="28"/>
          <w:lang w:val="en-US" w:eastAsia="zh-CN"/>
        </w:rPr>
        <w:t>购置洒水设备，根据实际无组织排放情况，针对产污环节及场地实施洒水抑尘措施，以减少污染物排放。</w:t>
      </w:r>
    </w:p>
    <w:p w14:paraId="2DE44075">
      <w:pPr>
        <w:pStyle w:val="5"/>
        <w:bidi w:val="0"/>
        <w:rPr>
          <w:rFonts w:hint="eastAsia"/>
          <w:lang w:val="en-US" w:eastAsia="zh-CN"/>
        </w:rPr>
      </w:pPr>
      <w:r>
        <w:rPr>
          <w:rFonts w:hint="eastAsia"/>
          <w:lang w:val="en-US" w:eastAsia="zh-CN"/>
        </w:rPr>
        <w:t>（二）污水</w:t>
      </w:r>
    </w:p>
    <w:p w14:paraId="036F3ED2">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（1）生产废水</w:t>
      </w:r>
    </w:p>
    <w:p w14:paraId="003D9713">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本项目无生产废水产生。</w:t>
      </w:r>
    </w:p>
    <w:p w14:paraId="69903EB8">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（2）生活污水</w:t>
      </w:r>
    </w:p>
    <w:p w14:paraId="06DB6605">
      <w:pPr>
        <w:pStyle w:val="4"/>
        <w:bidi w:val="0"/>
        <w:rPr>
          <w:rFonts w:hint="default"/>
          <w:sz w:val="28"/>
          <w:szCs w:val="28"/>
          <w:lang w:val="en-US" w:eastAsia="zh-CN"/>
        </w:rPr>
      </w:pPr>
      <w:r>
        <w:rPr>
          <w:rFonts w:hint="eastAsia" w:ascii="Times New Roman" w:hAnsi="Times New Roman" w:eastAsia="宋体"/>
          <w:sz w:val="28"/>
          <w:szCs w:val="28"/>
          <w:lang w:val="en-US" w:eastAsia="zh-CN"/>
        </w:rPr>
        <w:t>生活污水约36t/a，主要污染物为COD、氨氮，经厂内化粪池处理，定期清掏外运用作农肥。</w:t>
      </w:r>
    </w:p>
    <w:p w14:paraId="2654240A">
      <w:pPr>
        <w:pStyle w:val="5"/>
        <w:bidi w:val="0"/>
        <w:rPr>
          <w:rFonts w:hint="eastAsia" w:ascii="Times New Roman" w:hAnsi="Times New Roman" w:eastAsia="宋体"/>
          <w:lang w:val="en-US" w:eastAsia="zh-CN"/>
        </w:rPr>
      </w:pPr>
      <w:r>
        <w:rPr>
          <w:rFonts w:hint="eastAsia" w:ascii="Times New Roman" w:hAnsi="Times New Roman" w:eastAsia="宋体"/>
          <w:lang w:val="en-US" w:eastAsia="zh-CN"/>
        </w:rPr>
        <w:t>（三）固体废物</w:t>
      </w:r>
    </w:p>
    <w:p w14:paraId="29121C02">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本项目固体废物主要为一般工业固废、危险废物和生活垃圾。</w:t>
      </w:r>
    </w:p>
    <w:p w14:paraId="3DBE52AD">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（1）一般固废</w:t>
      </w:r>
    </w:p>
    <w:p w14:paraId="02A3E281">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除尘器集尘：除尘器集尘成分主要是石材加工时产生的粉尘，除尘器集尘固废代码为SW59 900-099-S59其他工业生产过程中产生的固体废物，通过收集袋装后定期外售至砖厂。</w:t>
      </w:r>
    </w:p>
    <w:p w14:paraId="6E4D0037">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废布袋：除尘器运行需要定期更换布袋，产生废布袋SW59 900-099-S59废过滤材料，由生产厂家定期回收。</w:t>
      </w:r>
    </w:p>
    <w:p w14:paraId="49722200">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生活垃圾：生活垃圾 SW64 900-002-S64，场内收集后，定期送至村内指定地点。</w:t>
      </w:r>
    </w:p>
    <w:p w14:paraId="1A3B4AC7">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（2）危险废物</w:t>
      </w:r>
    </w:p>
    <w:p w14:paraId="14BE6B0B">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废机油、废机油桶：设备维修废机油产生量约0.1t/a，废油桶产生量约8个/a。废机油属于《国家危险废物名录（2025版）》中HW08废矿物油与含矿物油废物/非特定行业/900-214-08车辆、机械维修和拆解过程中产生的废发动机油、制动器油、自动变速器油、齿轮油等废润滑油；废油桶属于《国家危险废物名录（2021年版）》中的废矿物油与含矿物油废物（HW08），废物代码为900-249-08。收集后暂存于按《危险废物贮存污染控制标准》（GB 18597-2023）要求建设的危废间（5㎡），待达到最低处置量后委托有资质单位处置。</w:t>
      </w:r>
    </w:p>
    <w:p w14:paraId="7E138DED">
      <w:pPr>
        <w:pStyle w:val="5"/>
        <w:bidi w:val="0"/>
        <w:rPr>
          <w:rFonts w:hint="eastAsia"/>
          <w:lang w:val="en-US" w:eastAsia="zh-CN"/>
        </w:rPr>
      </w:pPr>
      <w:r>
        <w:rPr>
          <w:rFonts w:hint="eastAsia"/>
          <w:lang w:val="en-US" w:eastAsia="zh-CN"/>
        </w:rPr>
        <w:t>（四）噪声</w:t>
      </w:r>
    </w:p>
    <w:p w14:paraId="4FC85156">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主要噪声源为设备运转时产生的噪声，验收期间本项目针对噪声源采取的预防措施有：</w:t>
      </w:r>
    </w:p>
    <w:p w14:paraId="5B5E5190">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（1）各生产设备进行合理布局，与厂界保持适当距离，部分设备配备彩钢罩以降低厂界噪声；</w:t>
      </w:r>
    </w:p>
    <w:p w14:paraId="6D22FB77">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（2）定期对设备进行维护和保养，使设备处于良好的运行状态，避免设备的不正常运行；</w:t>
      </w:r>
    </w:p>
    <w:p w14:paraId="30C3FD8C">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（3）场内运输车辆采用限速降低噪声；</w:t>
      </w:r>
    </w:p>
    <w:p w14:paraId="1EFD23DA">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（4）本项目夜间不生产。</w:t>
      </w:r>
    </w:p>
    <w:p w14:paraId="7C3090C9">
      <w:pPr>
        <w:pStyle w:val="5"/>
        <w:bidi w:val="0"/>
        <w:rPr>
          <w:rFonts w:hint="eastAsia" w:ascii="Times New Roman" w:hAnsi="Times New Roman" w:eastAsia="宋体"/>
          <w:lang w:val="en-US" w:eastAsia="zh-CN"/>
        </w:rPr>
      </w:pPr>
      <w:r>
        <w:rPr>
          <w:rFonts w:hint="eastAsia" w:ascii="Times New Roman" w:hAnsi="Times New Roman" w:eastAsia="宋体"/>
          <w:lang w:val="en-US" w:eastAsia="zh-CN"/>
        </w:rPr>
        <w:t>（五）土壤及地下水污染防治</w:t>
      </w:r>
    </w:p>
    <w:p w14:paraId="375D72DE">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根据施工单位提供的资料，项目在土建过程中对一般防渗区和重点防渗区分别按要求进行了建设。</w:t>
      </w:r>
    </w:p>
    <w:p w14:paraId="43168951">
      <w:pPr>
        <w:pStyle w:val="4"/>
        <w:bidi w:val="0"/>
        <w:rPr>
          <w:rStyle w:val="36"/>
          <w:rFonts w:hint="default" w:ascii="Times New Roman" w:hAnsi="Times New Roman" w:eastAsia="宋体"/>
          <w:sz w:val="28"/>
          <w:szCs w:val="28"/>
          <w:lang w:val="en-US" w:eastAsia="zh-CN"/>
        </w:rPr>
      </w:pPr>
      <w:r>
        <w:rPr>
          <w:rStyle w:val="36"/>
          <w:rFonts w:hint="eastAsia" w:ascii="Times New Roman" w:hAnsi="Times New Roman" w:eastAsia="宋体"/>
          <w:sz w:val="28"/>
          <w:szCs w:val="28"/>
          <w:lang w:val="en-US" w:eastAsia="zh-CN"/>
        </w:rPr>
        <w:t>1）</w:t>
      </w:r>
      <w:r>
        <w:rPr>
          <w:rStyle w:val="36"/>
          <w:rFonts w:hint="default" w:ascii="Times New Roman" w:hAnsi="Times New Roman" w:eastAsia="宋体"/>
          <w:sz w:val="28"/>
          <w:szCs w:val="28"/>
          <w:lang w:val="en-US" w:eastAsia="zh-CN"/>
        </w:rPr>
        <w:t>一般防渗区</w:t>
      </w:r>
    </w:p>
    <w:p w14:paraId="591B60AF">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化粪池</w:t>
      </w:r>
      <w:r>
        <w:rPr>
          <w:rStyle w:val="36"/>
          <w:rFonts w:hint="eastAsia"/>
          <w:sz w:val="28"/>
          <w:szCs w:val="28"/>
          <w:lang w:val="en-US" w:eastAsia="zh-CN"/>
        </w:rPr>
        <w:t>、沉淀池</w:t>
      </w:r>
      <w:r>
        <w:rPr>
          <w:rStyle w:val="36"/>
          <w:rFonts w:hint="default" w:ascii="Times New Roman" w:hAnsi="Times New Roman" w:eastAsia="宋体"/>
          <w:sz w:val="28"/>
          <w:szCs w:val="28"/>
          <w:lang w:val="en-US" w:eastAsia="zh-CN"/>
        </w:rPr>
        <w:t>划分为一般防渗区。</w:t>
      </w:r>
    </w:p>
    <w:p w14:paraId="37A69AFC">
      <w:pPr>
        <w:pStyle w:val="4"/>
        <w:bidi w:val="0"/>
        <w:rPr>
          <w:rStyle w:val="36"/>
          <w:rFonts w:hint="default" w:ascii="Times New Roman" w:hAnsi="Times New Roman" w:eastAsia="宋体"/>
          <w:sz w:val="28"/>
          <w:szCs w:val="28"/>
          <w:lang w:val="en-US" w:eastAsia="zh-CN"/>
        </w:rPr>
      </w:pPr>
      <w:r>
        <w:rPr>
          <w:rStyle w:val="36"/>
          <w:rFonts w:hint="eastAsia" w:ascii="Times New Roman" w:hAnsi="Times New Roman" w:eastAsia="宋体"/>
          <w:sz w:val="28"/>
          <w:szCs w:val="28"/>
          <w:lang w:val="en-US" w:eastAsia="zh-CN"/>
        </w:rPr>
        <w:t>2）</w:t>
      </w:r>
      <w:r>
        <w:rPr>
          <w:rStyle w:val="36"/>
          <w:rFonts w:hint="default" w:ascii="Times New Roman" w:hAnsi="Times New Roman" w:eastAsia="宋体"/>
          <w:sz w:val="28"/>
          <w:szCs w:val="28"/>
          <w:lang w:val="en-US" w:eastAsia="zh-CN"/>
        </w:rPr>
        <w:t>重点防渗区</w:t>
      </w:r>
    </w:p>
    <w:p w14:paraId="3F9A6656">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将</w:t>
      </w:r>
      <w:r>
        <w:rPr>
          <w:rStyle w:val="36"/>
          <w:rFonts w:hint="eastAsia"/>
          <w:sz w:val="28"/>
          <w:szCs w:val="28"/>
          <w:lang w:val="en-US" w:eastAsia="zh-CN"/>
        </w:rPr>
        <w:t>危险废物贮存库</w:t>
      </w:r>
      <w:r>
        <w:rPr>
          <w:rStyle w:val="36"/>
          <w:rFonts w:hint="default" w:ascii="Times New Roman" w:hAnsi="Times New Roman" w:eastAsia="宋体"/>
          <w:sz w:val="28"/>
          <w:szCs w:val="28"/>
          <w:lang w:val="en-US" w:eastAsia="zh-CN"/>
        </w:rPr>
        <w:t>划为重点防渗区</w:t>
      </w:r>
    </w:p>
    <w:p w14:paraId="79E39405">
      <w:pPr>
        <w:pStyle w:val="3"/>
        <w:bidi w:val="0"/>
      </w:pPr>
      <w:r>
        <w:rPr>
          <w:rFonts w:hint="eastAsia" w:cs="Times New Roman"/>
        </w:rPr>
        <w:t>四、</w:t>
      </w:r>
      <w:r>
        <w:rPr>
          <w:rFonts w:hint="eastAsia"/>
          <w:lang w:val="en-US" w:eastAsia="zh-CN"/>
        </w:rPr>
        <w:t>检测</w:t>
      </w:r>
      <w:r>
        <w:rPr>
          <w:rFonts w:hint="eastAsia"/>
        </w:rPr>
        <w:t>结果</w:t>
      </w:r>
    </w:p>
    <w:p w14:paraId="71B08666">
      <w:pPr>
        <w:pStyle w:val="4"/>
        <w:bidi w:val="0"/>
        <w:rPr>
          <w:rFonts w:hint="eastAsia"/>
          <w:sz w:val="28"/>
          <w:szCs w:val="28"/>
        </w:rPr>
      </w:pPr>
      <w:r>
        <w:rPr>
          <w:rFonts w:hint="eastAsia"/>
          <w:sz w:val="28"/>
          <w:szCs w:val="28"/>
        </w:rPr>
        <w:t>丹东市精益理化测试有限责任公司</w:t>
      </w:r>
      <w:r>
        <w:rPr>
          <w:rFonts w:hint="eastAsia"/>
          <w:sz w:val="28"/>
          <w:szCs w:val="28"/>
          <w:lang w:eastAsia="zh-CN"/>
        </w:rPr>
        <w:t>“</w:t>
      </w:r>
      <w:r>
        <w:rPr>
          <w:rFonts w:hint="eastAsia"/>
          <w:sz w:val="28"/>
          <w:szCs w:val="28"/>
        </w:rPr>
        <w:t>丹精益（</w:t>
      </w:r>
      <w:r>
        <w:rPr>
          <w:rFonts w:hint="eastAsia"/>
          <w:sz w:val="28"/>
          <w:szCs w:val="28"/>
          <w:lang w:eastAsia="zh-CN"/>
        </w:rPr>
        <w:t>验</w:t>
      </w:r>
      <w:r>
        <w:rPr>
          <w:rFonts w:hint="eastAsia"/>
          <w:sz w:val="28"/>
          <w:szCs w:val="28"/>
        </w:rPr>
        <w:t>）</w:t>
      </w:r>
      <w:r>
        <w:rPr>
          <w:rFonts w:hint="eastAsia"/>
          <w:sz w:val="28"/>
          <w:szCs w:val="28"/>
          <w:lang w:eastAsia="zh-CN"/>
        </w:rPr>
        <w:t>〔202</w:t>
      </w:r>
      <w:r>
        <w:rPr>
          <w:rFonts w:hint="eastAsia"/>
          <w:sz w:val="28"/>
          <w:szCs w:val="28"/>
          <w:lang w:val="en-US" w:eastAsia="zh-CN"/>
        </w:rPr>
        <w:t>6</w:t>
      </w:r>
      <w:r>
        <w:rPr>
          <w:rFonts w:hint="eastAsia"/>
          <w:sz w:val="28"/>
          <w:szCs w:val="28"/>
          <w:lang w:eastAsia="zh-CN"/>
        </w:rPr>
        <w:t>〕</w:t>
      </w:r>
      <w:r>
        <w:rPr>
          <w:rFonts w:hint="eastAsia"/>
          <w:sz w:val="28"/>
          <w:szCs w:val="28"/>
          <w:lang w:val="en-US" w:eastAsia="zh-CN"/>
        </w:rPr>
        <w:t>023</w:t>
      </w:r>
      <w:r>
        <w:rPr>
          <w:rFonts w:hint="eastAsia"/>
          <w:sz w:val="28"/>
          <w:szCs w:val="28"/>
          <w:lang w:eastAsia="zh-CN"/>
        </w:rPr>
        <w:t>号”</w:t>
      </w:r>
      <w:r>
        <w:rPr>
          <w:rFonts w:hint="eastAsia"/>
          <w:sz w:val="28"/>
          <w:szCs w:val="28"/>
        </w:rPr>
        <w:t>：所检测的各项污染物均达到国家排放标准要求。</w:t>
      </w:r>
    </w:p>
    <w:p w14:paraId="5168AB3E">
      <w:pPr>
        <w:pStyle w:val="3"/>
        <w:bidi w:val="0"/>
        <w:rPr>
          <w:rFonts w:hint="eastAsia"/>
          <w:lang w:val="en-US" w:eastAsia="zh-CN"/>
        </w:rPr>
      </w:pPr>
      <w:r>
        <w:rPr>
          <w:rFonts w:hint="eastAsia"/>
          <w:lang w:val="en-US" w:eastAsia="zh-CN"/>
        </w:rPr>
        <w:t>五、项目变更情况</w:t>
      </w:r>
    </w:p>
    <w:p w14:paraId="763EC2C3">
      <w:pPr>
        <w:pStyle w:val="4"/>
        <w:rPr>
          <w:rFonts w:hint="eastAsia"/>
          <w:sz w:val="28"/>
          <w:szCs w:val="28"/>
          <w:lang w:val="en-US" w:eastAsia="zh-CN"/>
        </w:rPr>
      </w:pPr>
      <w:r>
        <w:rPr>
          <w:rFonts w:hint="eastAsia"/>
          <w:sz w:val="28"/>
          <w:szCs w:val="28"/>
          <w:lang w:val="en-US" w:eastAsia="zh-CN"/>
        </w:rPr>
        <w:t>验收监测期间，根据《污染影响类建设项目重大变动清单(试行)》及《建设项目竣工环境保护验收暂行办法》第八条中9条中不得提出验收合格意见的情况，对本次验收项目发生的变更进行界定，本项目已建成内容基本按照环评和批复建设，未发现重大变更事项。</w:t>
      </w:r>
    </w:p>
    <w:p w14:paraId="7115F626">
      <w:pPr>
        <w:pStyle w:val="3"/>
        <w:bidi w:val="0"/>
      </w:pPr>
      <w:r>
        <w:rPr>
          <w:rFonts w:hint="eastAsia"/>
          <w:lang w:val="en-US" w:eastAsia="zh-CN"/>
        </w:rPr>
        <w:t>六</w:t>
      </w:r>
      <w:r>
        <w:rPr>
          <w:rFonts w:hint="eastAsia"/>
        </w:rPr>
        <w:t>、验收意见</w:t>
      </w:r>
    </w:p>
    <w:p w14:paraId="232C6857">
      <w:pPr>
        <w:pStyle w:val="4"/>
        <w:bidi w:val="0"/>
        <w:rPr>
          <w:rFonts w:hint="default"/>
          <w:color w:val="auto"/>
          <w:sz w:val="28"/>
          <w:szCs w:val="28"/>
          <w:lang w:val="en-US" w:eastAsia="zh-CN"/>
        </w:rPr>
      </w:pPr>
      <w:r>
        <w:rPr>
          <w:rFonts w:hint="eastAsia"/>
          <w:sz w:val="28"/>
          <w:szCs w:val="28"/>
          <w:lang w:val="en-US" w:eastAsia="zh-CN"/>
        </w:rPr>
        <w:t>项目已按环境影响报告书及其审批部门审批决定要求建成环境保护设施，环境保护设施与主体工程同时使用；污染物排放符合国家和地方相关标准、环境影响报告书及其审批部门审批决定要求；环境影响报告书经批准后，该建设项目的性质、规模、地点、采用的生产工艺、防治污染与防止生态破坏的措施均没有发生重大变动；建设过程中未造成重大环境污染与重大生态破坏；建设项目存在未批先建行为，已受到地方环境主管部门处罚并缴纳罚款，随后编制环境影响评价报告书并取得批复；本次验收报告的基础资料数据均为实测数据，其内容满足本次验收要求，且验收结论明确、合理；项目没有其他环境保护法律法规规章等规定不得通过环境保护验收的因素。验收组认为通过竣工环境保护验收。</w:t>
      </w:r>
      <w:bookmarkStart w:id="0" w:name="_GoBack"/>
      <w:bookmarkEnd w:id="0"/>
    </w:p>
    <w:p w14:paraId="21EEE7E8">
      <w:pPr>
        <w:pStyle w:val="4"/>
        <w:bidi w:val="0"/>
        <w:rPr>
          <w:rFonts w:hint="default"/>
          <w:color w:val="auto"/>
          <w:sz w:val="28"/>
          <w:szCs w:val="28"/>
          <w:lang w:val="en-US" w:eastAsia="zh-CN"/>
        </w:rPr>
      </w:pPr>
    </w:p>
    <w:p w14:paraId="5114458D">
      <w:pPr>
        <w:pStyle w:val="4"/>
        <w:bidi w:val="0"/>
        <w:rPr>
          <w:rFonts w:hint="default"/>
          <w:color w:val="auto"/>
          <w:sz w:val="28"/>
          <w:szCs w:val="28"/>
          <w:lang w:val="en-US" w:eastAsia="zh-CN"/>
        </w:rPr>
      </w:pPr>
    </w:p>
    <w:p w14:paraId="02C0251A">
      <w:pPr>
        <w:pStyle w:val="4"/>
        <w:bidi w:val="0"/>
        <w:jc w:val="right"/>
        <w:rPr>
          <w:rFonts w:hint="eastAsia" w:ascii="Times New Roman" w:hAnsi="Times New Roman" w:eastAsia="宋体"/>
          <w:sz w:val="28"/>
          <w:szCs w:val="28"/>
          <w:lang w:val="en-US" w:eastAsia="zh-CN"/>
        </w:rPr>
      </w:pPr>
      <w:r>
        <w:rPr>
          <w:rFonts w:hint="eastAsia"/>
          <w:sz w:val="28"/>
          <w:szCs w:val="28"/>
          <w:lang w:val="en-US" w:eastAsia="zh-CN"/>
        </w:rPr>
        <w:t>凤城市中威矿业有限责任公司</w:t>
      </w:r>
      <w:r>
        <w:rPr>
          <w:rFonts w:hint="eastAsia" w:ascii="Times New Roman" w:hAnsi="Times New Roman" w:eastAsia="宋体"/>
          <w:sz w:val="28"/>
          <w:szCs w:val="28"/>
          <w:lang w:val="en-US" w:eastAsia="zh-CN"/>
        </w:rPr>
        <w:t>：       （公章）</w:t>
      </w:r>
    </w:p>
    <w:p w14:paraId="41EA09CD">
      <w:pPr>
        <w:pStyle w:val="4"/>
        <w:bidi w:val="0"/>
        <w:jc w:val="right"/>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项目负责人：       （签字）</w:t>
      </w:r>
    </w:p>
    <w:p w14:paraId="76A884BD">
      <w:pPr>
        <w:pStyle w:val="4"/>
        <w:bidi w:val="0"/>
        <w:jc w:val="right"/>
      </w:pPr>
      <w:r>
        <w:rPr>
          <w:rFonts w:hint="eastAsia" w:ascii="Times New Roman" w:hAnsi="Times New Roman" w:eastAsia="宋体"/>
          <w:sz w:val="28"/>
          <w:szCs w:val="28"/>
          <w:lang w:val="en-US" w:eastAsia="zh-CN"/>
        </w:rPr>
        <w:t>202</w:t>
      </w:r>
      <w:r>
        <w:rPr>
          <w:rFonts w:hint="eastAsia"/>
          <w:sz w:val="28"/>
          <w:szCs w:val="28"/>
          <w:lang w:val="en-US" w:eastAsia="zh-CN"/>
        </w:rPr>
        <w:t>6</w:t>
      </w:r>
      <w:r>
        <w:rPr>
          <w:rFonts w:hint="eastAsia" w:ascii="Times New Roman" w:hAnsi="Times New Roman" w:eastAsia="宋体"/>
          <w:sz w:val="28"/>
          <w:szCs w:val="28"/>
          <w:lang w:val="en-US" w:eastAsia="zh-CN"/>
        </w:rPr>
        <w:t>年</w:t>
      </w:r>
      <w:r>
        <w:rPr>
          <w:rFonts w:hint="eastAsia"/>
          <w:sz w:val="28"/>
          <w:szCs w:val="28"/>
          <w:lang w:val="en-US" w:eastAsia="zh-CN"/>
        </w:rPr>
        <w:t>6</w:t>
      </w:r>
      <w:r>
        <w:rPr>
          <w:rFonts w:hint="eastAsia" w:ascii="Times New Roman" w:hAnsi="Times New Roman" w:eastAsia="宋体"/>
          <w:sz w:val="28"/>
          <w:szCs w:val="28"/>
          <w:lang w:val="en-US" w:eastAsia="zh-CN"/>
        </w:rPr>
        <w:t>月</w:t>
      </w:r>
      <w:r>
        <w:rPr>
          <w:rFonts w:hint="eastAsia"/>
          <w:sz w:val="28"/>
          <w:szCs w:val="28"/>
          <w:lang w:val="en-US" w:eastAsia="zh-CN"/>
        </w:rPr>
        <w:t>3</w:t>
      </w:r>
      <w:r>
        <w:rPr>
          <w:rFonts w:hint="eastAsia" w:ascii="Times New Roman" w:hAnsi="Times New Roman" w:eastAsia="宋体"/>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EACB0"/>
    <w:multiLevelType w:val="singleLevel"/>
    <w:tmpl w:val="D65EAC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mNlMGY2NmQ3OTM5OGIwMzY3MWFkNjBkNWNiMTcifQ=="/>
  </w:docVars>
  <w:rsids>
    <w:rsidRoot w:val="38F77D2A"/>
    <w:rsid w:val="006151F0"/>
    <w:rsid w:val="00EC6573"/>
    <w:rsid w:val="011467D4"/>
    <w:rsid w:val="0269622F"/>
    <w:rsid w:val="03515A38"/>
    <w:rsid w:val="04994609"/>
    <w:rsid w:val="04F24C48"/>
    <w:rsid w:val="0666580E"/>
    <w:rsid w:val="06D5099C"/>
    <w:rsid w:val="0700781F"/>
    <w:rsid w:val="09173ED3"/>
    <w:rsid w:val="0C1A2643"/>
    <w:rsid w:val="0CC9294F"/>
    <w:rsid w:val="0F04464F"/>
    <w:rsid w:val="1058341A"/>
    <w:rsid w:val="125831B1"/>
    <w:rsid w:val="14794567"/>
    <w:rsid w:val="18E6701A"/>
    <w:rsid w:val="1CA37D25"/>
    <w:rsid w:val="20A4470F"/>
    <w:rsid w:val="20BE2388"/>
    <w:rsid w:val="216F435A"/>
    <w:rsid w:val="23633B7D"/>
    <w:rsid w:val="239C274D"/>
    <w:rsid w:val="27047E56"/>
    <w:rsid w:val="29647D3E"/>
    <w:rsid w:val="2BAB3918"/>
    <w:rsid w:val="31CE1E6B"/>
    <w:rsid w:val="32CC5D67"/>
    <w:rsid w:val="35646162"/>
    <w:rsid w:val="362E3563"/>
    <w:rsid w:val="36767C8D"/>
    <w:rsid w:val="38F77D2A"/>
    <w:rsid w:val="39133EFB"/>
    <w:rsid w:val="3A3368C7"/>
    <w:rsid w:val="3BB257FA"/>
    <w:rsid w:val="3E276DED"/>
    <w:rsid w:val="3E614E8A"/>
    <w:rsid w:val="40CD1D6E"/>
    <w:rsid w:val="40D16425"/>
    <w:rsid w:val="40ED3819"/>
    <w:rsid w:val="43C44EFF"/>
    <w:rsid w:val="455A7D19"/>
    <w:rsid w:val="45FC23F6"/>
    <w:rsid w:val="47F458B7"/>
    <w:rsid w:val="49343A81"/>
    <w:rsid w:val="4A28625D"/>
    <w:rsid w:val="4A8A0024"/>
    <w:rsid w:val="4B3E5994"/>
    <w:rsid w:val="4C326AA4"/>
    <w:rsid w:val="4C8479D2"/>
    <w:rsid w:val="4D64782D"/>
    <w:rsid w:val="4DFC3C7E"/>
    <w:rsid w:val="4FD11347"/>
    <w:rsid w:val="50FA7A4B"/>
    <w:rsid w:val="51A31AFC"/>
    <w:rsid w:val="528C724E"/>
    <w:rsid w:val="53196A96"/>
    <w:rsid w:val="53AC60D2"/>
    <w:rsid w:val="54FE2E33"/>
    <w:rsid w:val="5577644F"/>
    <w:rsid w:val="56582761"/>
    <w:rsid w:val="59071F88"/>
    <w:rsid w:val="5A9807E1"/>
    <w:rsid w:val="5D7B1657"/>
    <w:rsid w:val="5E90317A"/>
    <w:rsid w:val="5F702A21"/>
    <w:rsid w:val="61DB7E95"/>
    <w:rsid w:val="62B2605A"/>
    <w:rsid w:val="62FD6475"/>
    <w:rsid w:val="685C0798"/>
    <w:rsid w:val="692734B0"/>
    <w:rsid w:val="69ED4A06"/>
    <w:rsid w:val="6B9B3A60"/>
    <w:rsid w:val="6BED2021"/>
    <w:rsid w:val="6D721E1C"/>
    <w:rsid w:val="6FCE185B"/>
    <w:rsid w:val="70903F44"/>
    <w:rsid w:val="71D640AB"/>
    <w:rsid w:val="723D2B7A"/>
    <w:rsid w:val="75CD2172"/>
    <w:rsid w:val="77AD2DB8"/>
    <w:rsid w:val="787B1C3E"/>
    <w:rsid w:val="7A3D6D6B"/>
    <w:rsid w:val="7B6475E5"/>
    <w:rsid w:val="7F152A98"/>
    <w:rsid w:val="7F38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Theme="minorAscii" w:hAnsiTheme="minorAscii" w:eastAsiaTheme="minorEastAsia" w:cstheme="minorBidi"/>
      <w:snapToGrid w:val="0"/>
      <w:kern w:val="2"/>
      <w:sz w:val="21"/>
      <w:szCs w:val="24"/>
      <w:lang w:val="en-US" w:eastAsia="zh-CN" w:bidi="ar-SA"/>
    </w:rPr>
  </w:style>
  <w:style w:type="paragraph" w:styleId="3">
    <w:name w:val="heading 1"/>
    <w:basedOn w:val="1"/>
    <w:next w:val="4"/>
    <w:link w:val="31"/>
    <w:autoRedefine/>
    <w:qFormat/>
    <w:uiPriority w:val="0"/>
    <w:pPr>
      <w:keepNext w:val="0"/>
      <w:keepLines w:val="0"/>
      <w:adjustRightInd w:val="0"/>
      <w:snapToGrid w:val="0"/>
      <w:spacing w:line="360" w:lineRule="auto"/>
      <w:outlineLvl w:val="0"/>
    </w:pPr>
    <w:rPr>
      <w:rFonts w:ascii="Times New Roman" w:hAnsi="Times New Roman" w:eastAsia="宋体" w:cstheme="minorBidi"/>
      <w:b/>
      <w:bCs/>
      <w:kern w:val="44"/>
      <w:sz w:val="32"/>
      <w:szCs w:val="32"/>
    </w:rPr>
  </w:style>
  <w:style w:type="paragraph" w:styleId="5">
    <w:name w:val="heading 2"/>
    <w:next w:val="4"/>
    <w:link w:val="32"/>
    <w:semiHidden/>
    <w:unhideWhenUsed/>
    <w:qFormat/>
    <w:uiPriority w:val="0"/>
    <w:pPr>
      <w:keepNext w:val="0"/>
      <w:keepLines w:val="0"/>
      <w:adjustRightInd w:val="0"/>
      <w:snapToGrid w:val="0"/>
      <w:spacing w:line="360" w:lineRule="auto"/>
      <w:outlineLvl w:val="1"/>
    </w:pPr>
    <w:rPr>
      <w:rFonts w:ascii="Times New Roman" w:hAnsi="Times New Roman" w:eastAsia="宋体" w:cstheme="minorBidi"/>
      <w:b/>
      <w:bCs/>
      <w:sz w:val="30"/>
      <w:szCs w:val="30"/>
    </w:rPr>
  </w:style>
  <w:style w:type="paragraph" w:styleId="6">
    <w:name w:val="heading 3"/>
    <w:next w:val="4"/>
    <w:link w:val="33"/>
    <w:autoRedefine/>
    <w:semiHidden/>
    <w:unhideWhenUsed/>
    <w:qFormat/>
    <w:uiPriority w:val="0"/>
    <w:pPr>
      <w:keepNext w:val="0"/>
      <w:keepLines w:val="0"/>
      <w:widowControl w:val="0"/>
      <w:adjustRightInd w:val="0"/>
      <w:snapToGrid w:val="0"/>
      <w:spacing w:line="360" w:lineRule="auto"/>
      <w:outlineLvl w:val="2"/>
    </w:pPr>
    <w:rPr>
      <w:rFonts w:ascii="Times New Roman" w:hAnsi="Times New Roman" w:eastAsia="宋体" w:cstheme="minorBidi"/>
      <w:b/>
      <w:bCs/>
      <w:sz w:val="28"/>
      <w:szCs w:val="32"/>
    </w:rPr>
  </w:style>
  <w:style w:type="paragraph" w:styleId="7">
    <w:name w:val="heading 4"/>
    <w:next w:val="4"/>
    <w:autoRedefine/>
    <w:semiHidden/>
    <w:unhideWhenUsed/>
    <w:qFormat/>
    <w:uiPriority w:val="0"/>
    <w:pPr>
      <w:keepNext w:val="0"/>
      <w:keepLines w:val="0"/>
      <w:widowControl w:val="0"/>
      <w:adjustRightInd w:val="0"/>
      <w:snapToGrid w:val="0"/>
      <w:spacing w:beforeLines="0" w:beforeAutospacing="0" w:afterLines="0" w:afterAutospacing="0" w:line="360" w:lineRule="auto"/>
      <w:ind w:firstLine="964" w:firstLineChars="200"/>
      <w:jc w:val="left"/>
      <w:outlineLvl w:val="3"/>
    </w:pPr>
    <w:rPr>
      <w:rFonts w:ascii="Times New Roman" w:hAnsi="Times New Roman" w:eastAsia="宋体" w:cstheme="minorBidi"/>
      <w:b/>
      <w:sz w:val="24"/>
    </w:rPr>
  </w:style>
  <w:style w:type="paragraph" w:styleId="8">
    <w:name w:val="heading 5"/>
    <w:basedOn w:val="9"/>
    <w:next w:val="4"/>
    <w:link w:val="29"/>
    <w:semiHidden/>
    <w:unhideWhenUsed/>
    <w:qFormat/>
    <w:uiPriority w:val="0"/>
    <w:pPr>
      <w:keepNext w:val="0"/>
      <w:keepLines w:val="0"/>
      <w:adjustRightInd w:val="0"/>
      <w:snapToGrid w:val="0"/>
      <w:spacing w:beforeLines="0" w:beforeAutospacing="0" w:afterLines="0" w:afterAutospacing="0" w:line="240" w:lineRule="auto"/>
      <w:outlineLvl w:val="4"/>
    </w:pPr>
    <w:rPr>
      <w:rFonts w:ascii="Times New Roman" w:hAnsi="Times New Roman" w:eastAsia="宋体" w:cs="Times New Roman"/>
      <w:color w:val="000000" w:themeColor="text1"/>
      <w:kern w:val="2"/>
      <w:szCs w:val="24"/>
      <w:lang w:val="en-US" w:eastAsia="zh-CN" w:bidi="ar-SA"/>
      <w14:textFill>
        <w14:solidFill>
          <w14:schemeClr w14:val="tx1"/>
        </w14:solidFill>
      </w14:textFill>
    </w:rPr>
  </w:style>
  <w:style w:type="paragraph" w:styleId="10">
    <w:name w:val="heading 6"/>
    <w:basedOn w:val="9"/>
    <w:next w:val="4"/>
    <w:link w:val="28"/>
    <w:autoRedefine/>
    <w:semiHidden/>
    <w:unhideWhenUsed/>
    <w:qFormat/>
    <w:uiPriority w:val="0"/>
    <w:pPr>
      <w:keepNext w:val="0"/>
      <w:keepLines w:val="0"/>
      <w:adjustRightInd w:val="0"/>
      <w:snapToGrid w:val="0"/>
      <w:spacing w:beforeLines="0" w:beforeAutospacing="0" w:afterLines="0" w:afterAutospacing="0" w:line="240" w:lineRule="auto"/>
      <w:outlineLvl w:val="5"/>
    </w:pPr>
    <w:rPr>
      <w:rFonts w:ascii="Times New Roman" w:hAnsi="Times New Roman" w:eastAsia="宋体"/>
      <w:color w:val="000000" w:themeColor="text1"/>
      <w:kern w:val="2"/>
      <w:szCs w:val="24"/>
      <w:lang w:val="en-US" w:eastAsia="zh-CN" w:bidi="ar-SA"/>
      <w14:textFill>
        <w14:solidFill>
          <w14:schemeClr w14:val="tx1"/>
        </w14:solidFill>
      </w14:textFill>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customStyle="1" w:styleId="4">
    <w:name w:val="报告正文"/>
    <w:link w:val="36"/>
    <w:autoRedefine/>
    <w:qFormat/>
    <w:uiPriority w:val="0"/>
    <w:pPr>
      <w:adjustRightInd w:val="0"/>
      <w:snapToGrid w:val="0"/>
      <w:spacing w:line="360" w:lineRule="auto"/>
      <w:ind w:firstLine="602" w:firstLineChars="200"/>
      <w:jc w:val="both"/>
    </w:pPr>
    <w:rPr>
      <w:rFonts w:ascii="Times New Roman" w:hAnsi="Times New Roman" w:eastAsia="宋体" w:cstheme="minorBidi"/>
      <w:sz w:val="24"/>
    </w:rPr>
  </w:style>
  <w:style w:type="paragraph" w:customStyle="1" w:styleId="9">
    <w:name w:val="表格标题"/>
    <w:link w:val="24"/>
    <w:qFormat/>
    <w:uiPriority w:val="0"/>
    <w:pPr>
      <w:adjustRightInd w:val="0"/>
      <w:snapToGrid w:val="0"/>
      <w:spacing w:line="240" w:lineRule="auto"/>
      <w:ind w:firstLine="0" w:firstLineChars="0"/>
      <w:jc w:val="center"/>
    </w:pPr>
    <w:rPr>
      <w:rFonts w:ascii="Times New Roman" w:hAnsi="Times New Roman" w:eastAsia="宋体" w:cs="Times New Roman"/>
      <w:b/>
      <w:sz w:val="24"/>
    </w:r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rPr>
      <w:rFonts w:ascii="Times New Roman" w:hAnsi="Times New Roman" w:eastAsia="仿宋" w:cs="Times New Roman"/>
      <w:sz w:val="24"/>
    </w:rPr>
  </w:style>
  <w:style w:type="paragraph" w:styleId="13">
    <w:name w:val="footer"/>
    <w:basedOn w:val="1"/>
    <w:next w:val="1"/>
    <w:qFormat/>
    <w:uiPriority w:val="0"/>
    <w:pPr>
      <w:snapToGrid w:val="0"/>
      <w:jc w:val="left"/>
    </w:pPr>
    <w:rPr>
      <w:sz w:val="18"/>
    </w:rPr>
  </w:style>
  <w:style w:type="paragraph" w:styleId="14">
    <w:name w:val="toc 1"/>
    <w:basedOn w:val="1"/>
    <w:next w:val="1"/>
    <w:qFormat/>
    <w:uiPriority w:val="0"/>
    <w:rPr>
      <w:rFonts w:ascii="Times New Roman" w:hAnsi="Times New Roman" w:eastAsia="仿宋" w:cs="Times New Roman"/>
      <w:sz w:val="24"/>
    </w:rPr>
  </w:style>
  <w:style w:type="paragraph" w:styleId="15">
    <w:name w:val="toc 2"/>
    <w:basedOn w:val="1"/>
    <w:next w:val="1"/>
    <w:qFormat/>
    <w:uiPriority w:val="0"/>
    <w:pPr>
      <w:ind w:left="420" w:leftChars="200"/>
    </w:pPr>
    <w:rPr>
      <w:rFonts w:ascii="Times New Roman" w:hAnsi="Times New Roman" w:eastAsia="仿宋" w:cs="Times New Roman"/>
      <w:sz w:val="24"/>
    </w:rPr>
  </w:style>
  <w:style w:type="paragraph" w:styleId="16">
    <w:name w:val="Title"/>
    <w:next w:val="4"/>
    <w:autoRedefine/>
    <w:qFormat/>
    <w:uiPriority w:val="0"/>
    <w:pPr>
      <w:adjustRightInd w:val="0"/>
      <w:snapToGrid w:val="0"/>
      <w:spacing w:beforeLines="0" w:beforeAutospacing="0" w:afterLines="0" w:afterAutospacing="0"/>
      <w:jc w:val="center"/>
      <w:outlineLvl w:val="0"/>
    </w:pPr>
    <w:rPr>
      <w:rFonts w:ascii="Times New Roman" w:hAnsi="Times New Roman" w:eastAsia="宋体" w:cs="Times New Roman"/>
      <w:b/>
      <w:sz w:val="28"/>
    </w:rPr>
  </w:style>
  <w:style w:type="paragraph" w:customStyle="1" w:styleId="19">
    <w:name w:val="图注释"/>
    <w:qFormat/>
    <w:uiPriority w:val="0"/>
    <w:pPr>
      <w:jc w:val="center"/>
    </w:pPr>
    <w:rPr>
      <w:rFonts w:ascii="Times New Roman" w:hAnsi="Times New Roman" w:eastAsia="仿宋" w:cstheme="minorBidi"/>
      <w:b/>
      <w:color w:val="FF0000"/>
      <w:sz w:val="21"/>
      <w:szCs w:val="10"/>
    </w:rPr>
  </w:style>
  <w:style w:type="paragraph" w:customStyle="1" w:styleId="20">
    <w:name w:val="图例"/>
    <w:qFormat/>
    <w:uiPriority w:val="0"/>
    <w:pPr>
      <w:adjustRightInd/>
      <w:snapToGrid/>
      <w:spacing w:line="240" w:lineRule="auto"/>
      <w:ind w:firstLine="0" w:firstLineChars="0"/>
      <w:jc w:val="center"/>
    </w:pPr>
    <w:rPr>
      <w:rFonts w:ascii="Times New Roman" w:hAnsi="Times New Roman" w:eastAsia="仿宋" w:cs="Times New Roman"/>
      <w:sz w:val="21"/>
      <w:szCs w:val="21"/>
    </w:rPr>
  </w:style>
  <w:style w:type="paragraph" w:customStyle="1" w:styleId="21">
    <w:name w:val="图例仿宋五号"/>
    <w:autoRedefine/>
    <w:qFormat/>
    <w:uiPriority w:val="0"/>
    <w:pPr>
      <w:jc w:val="center"/>
    </w:pPr>
    <w:rPr>
      <w:rFonts w:hint="default" w:ascii="仿宋" w:hAnsi="仿宋" w:eastAsia="仿宋" w:cstheme="minorBidi"/>
      <w:b/>
      <w:sz w:val="21"/>
    </w:rPr>
  </w:style>
  <w:style w:type="paragraph" w:customStyle="1" w:styleId="22">
    <w:name w:val="表格  五号宋体 居中 1.0行距"/>
    <w:link w:val="27"/>
    <w:autoRedefine/>
    <w:qFormat/>
    <w:uiPriority w:val="0"/>
    <w:pPr>
      <w:adjustRightInd w:val="0"/>
      <w:snapToGrid w:val="0"/>
      <w:spacing w:line="240" w:lineRule="auto"/>
      <w:jc w:val="center"/>
    </w:pPr>
    <w:rPr>
      <w:rFonts w:ascii="Times New Roman" w:hAnsi="Times New Roman" w:eastAsia="宋体" w:cs="Times New Roman"/>
      <w:snapToGrid w:val="0"/>
      <w:sz w:val="21"/>
      <w:szCs w:val="21"/>
      <w:lang w:val="en-US" w:eastAsia="zh-CN" w:bidi="ar-SA"/>
    </w:rPr>
  </w:style>
  <w:style w:type="paragraph" w:customStyle="1" w:styleId="23">
    <w:name w:val="表标题段前0.5 左对齐"/>
    <w:qFormat/>
    <w:uiPriority w:val="0"/>
    <w:pPr>
      <w:adjustRightInd/>
      <w:snapToGrid/>
      <w:spacing w:line="360" w:lineRule="auto"/>
      <w:jc w:val="left"/>
    </w:pPr>
    <w:rPr>
      <w:rFonts w:ascii="Times New Roman" w:hAnsi="Times New Roman" w:eastAsia="宋体" w:cs="Times New Roman"/>
      <w:b/>
      <w:kern w:val="2"/>
      <w:sz w:val="24"/>
      <w:szCs w:val="24"/>
    </w:rPr>
  </w:style>
  <w:style w:type="character" w:customStyle="1" w:styleId="24">
    <w:name w:val="表格标题 Char"/>
    <w:link w:val="9"/>
    <w:qFormat/>
    <w:uiPriority w:val="0"/>
    <w:rPr>
      <w:rFonts w:ascii="Times New Roman" w:hAnsi="Times New Roman" w:eastAsia="宋体"/>
      <w:b/>
      <w:sz w:val="24"/>
    </w:rPr>
  </w:style>
  <w:style w:type="character" w:customStyle="1" w:styleId="25">
    <w:name w:val="报告正文 Char1"/>
    <w:link w:val="4"/>
    <w:qFormat/>
    <w:uiPriority w:val="0"/>
    <w:rPr>
      <w:rFonts w:ascii="Times New Roman" w:hAnsi="Times New Roman" w:eastAsia="宋体" w:cstheme="minorBidi"/>
      <w:sz w:val="24"/>
    </w:rPr>
  </w:style>
  <w:style w:type="paragraph" w:customStyle="1" w:styleId="26">
    <w:name w:val="表格 缩进2字符 五号宋体 居中 1.0行距"/>
    <w:basedOn w:val="22"/>
    <w:qFormat/>
    <w:uiPriority w:val="0"/>
    <w:pPr>
      <w:ind w:firstLine="723" w:firstLineChars="200"/>
      <w:jc w:val="both"/>
    </w:pPr>
    <w:rPr>
      <w:rFonts w:ascii="Times New Roman" w:hAnsi="Times New Roman" w:eastAsia="宋体" w:cs="Times New Roman"/>
      <w:szCs w:val="21"/>
    </w:rPr>
  </w:style>
  <w:style w:type="character" w:customStyle="1" w:styleId="27">
    <w:name w:val="表格  五号宋体 居中 1.0行距 Char"/>
    <w:link w:val="22"/>
    <w:qFormat/>
    <w:uiPriority w:val="0"/>
    <w:rPr>
      <w:rFonts w:ascii="Times New Roman" w:hAnsi="Times New Roman" w:eastAsia="宋体" w:cs="Times New Roman"/>
      <w:snapToGrid w:val="0"/>
      <w:sz w:val="21"/>
      <w:szCs w:val="21"/>
      <w:lang w:val="en-US" w:eastAsia="zh-CN" w:bidi="ar-SA"/>
    </w:rPr>
  </w:style>
  <w:style w:type="character" w:customStyle="1" w:styleId="28">
    <w:name w:val="标题 6 Char"/>
    <w:link w:val="10"/>
    <w:qFormat/>
    <w:uiPriority w:val="0"/>
    <w:rPr>
      <w:rFonts w:ascii="Times New Roman" w:hAnsi="Times New Roman" w:eastAsia="宋体" w:cs="Times New Roman"/>
      <w:color w:val="000000" w:themeColor="text1"/>
      <w:kern w:val="2"/>
      <w:szCs w:val="24"/>
      <w:lang w:val="en-US" w:eastAsia="zh-CN" w:bidi="ar-SA"/>
      <w14:textFill>
        <w14:solidFill>
          <w14:schemeClr w14:val="tx1"/>
        </w14:solidFill>
      </w14:textFill>
    </w:rPr>
  </w:style>
  <w:style w:type="character" w:customStyle="1" w:styleId="29">
    <w:name w:val="标题 5 Char"/>
    <w:link w:val="8"/>
    <w:autoRedefine/>
    <w:qFormat/>
    <w:uiPriority w:val="0"/>
    <w:rPr>
      <w:rFonts w:ascii="Times New Roman" w:hAnsi="Times New Roman" w:eastAsia="宋体" w:cs="Times New Roman"/>
      <w:color w:val="000000" w:themeColor="text1"/>
      <w:kern w:val="2"/>
      <w:szCs w:val="24"/>
      <w:lang w:val="en-US" w:eastAsia="zh-CN" w:bidi="ar-SA"/>
      <w14:textFill>
        <w14:solidFill>
          <w14:schemeClr w14:val="tx1"/>
        </w14:solidFill>
      </w14:textFill>
    </w:rPr>
  </w:style>
  <w:style w:type="paragraph" w:customStyle="1" w:styleId="30">
    <w:name w:val="表内 黑色 小四 加粗 小标题用"/>
    <w:basedOn w:val="9"/>
    <w:qFormat/>
    <w:uiPriority w:val="0"/>
    <w:pPr>
      <w:spacing w:line="360" w:lineRule="auto"/>
      <w:jc w:val="left"/>
    </w:pPr>
    <w:rPr>
      <w:rFonts w:ascii="Times New Roman" w:hAnsi="Times New Roman" w:eastAsia="宋体" w:cstheme="minorBidi"/>
      <w:kern w:val="2"/>
      <w:szCs w:val="24"/>
      <w:lang w:val="en-US" w:eastAsia="zh-CN" w:bidi="ar-SA"/>
    </w:rPr>
  </w:style>
  <w:style w:type="character" w:customStyle="1" w:styleId="31">
    <w:name w:val="标题 1 Char"/>
    <w:basedOn w:val="18"/>
    <w:link w:val="3"/>
    <w:qFormat/>
    <w:uiPriority w:val="0"/>
    <w:rPr>
      <w:rFonts w:ascii="Times New Roman" w:hAnsi="Times New Roman" w:eastAsia="宋体"/>
      <w:b/>
      <w:bCs/>
      <w:kern w:val="44"/>
      <w:sz w:val="32"/>
      <w:szCs w:val="32"/>
      <w:lang w:val="en-US" w:eastAsia="zh-CN" w:bidi="ar-SA"/>
    </w:rPr>
  </w:style>
  <w:style w:type="character" w:customStyle="1" w:styleId="32">
    <w:name w:val="标题 2 Char"/>
    <w:basedOn w:val="18"/>
    <w:link w:val="5"/>
    <w:autoRedefine/>
    <w:qFormat/>
    <w:uiPriority w:val="0"/>
    <w:rPr>
      <w:rFonts w:ascii="Times New Roman" w:hAnsi="Times New Roman" w:eastAsia="宋体" w:cs="Times New Roman"/>
      <w:b/>
      <w:bCs/>
      <w:sz w:val="30"/>
      <w:szCs w:val="30"/>
    </w:rPr>
  </w:style>
  <w:style w:type="character" w:customStyle="1" w:styleId="33">
    <w:name w:val="标题 3 Char"/>
    <w:link w:val="6"/>
    <w:qFormat/>
    <w:uiPriority w:val="0"/>
    <w:rPr>
      <w:rFonts w:ascii="Times New Roman" w:hAnsi="Times New Roman" w:eastAsia="宋体"/>
      <w:b/>
      <w:bCs/>
      <w:kern w:val="2"/>
      <w:sz w:val="28"/>
      <w:szCs w:val="28"/>
    </w:rPr>
  </w:style>
  <w:style w:type="paragraph" w:customStyle="1" w:styleId="34">
    <w:name w:val="小二标题"/>
    <w:basedOn w:val="1"/>
    <w:qFormat/>
    <w:uiPriority w:val="0"/>
    <w:pPr>
      <w:jc w:val="center"/>
      <w:outlineLvl w:val="9"/>
    </w:pPr>
    <w:rPr>
      <w:rFonts w:ascii="Times New Roman" w:hAnsi="Times New Roman" w:eastAsia="宋体"/>
      <w:b/>
      <w:sz w:val="36"/>
    </w:rPr>
  </w:style>
  <w:style w:type="paragraph" w:customStyle="1" w:styleId="35">
    <w:name w:val="四号正文"/>
    <w:autoRedefine/>
    <w:qFormat/>
    <w:uiPriority w:val="0"/>
    <w:pPr>
      <w:spacing w:before="50" w:beforeLines="50" w:line="360" w:lineRule="auto"/>
      <w:ind w:firstLine="723" w:firstLineChars="200"/>
      <w:jc w:val="both"/>
    </w:pPr>
    <w:rPr>
      <w:rFonts w:ascii="Times New Roman" w:hAnsi="Times New Roman" w:eastAsia="宋体" w:cs="Times New Roman"/>
      <w:sz w:val="28"/>
    </w:rPr>
  </w:style>
  <w:style w:type="character" w:customStyle="1" w:styleId="36">
    <w:name w:val="报告正文 Char"/>
    <w:link w:val="4"/>
    <w:autoRedefine/>
    <w:qFormat/>
    <w:uiPriority w:val="0"/>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2303</Words>
  <Characters>2436</Characters>
  <Lines>0</Lines>
  <Paragraphs>0</Paragraphs>
  <TotalTime>10</TotalTime>
  <ScaleCrop>false</ScaleCrop>
  <LinksUpToDate>false</LinksUpToDate>
  <CharactersWithSpaces>2456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2024-09-17T05:41:00Z</dcterms:created>
  <dc:creator>穷侃</dc:creator>
  <cp:lastModifiedBy>穷侃</cp:lastModifiedBy>
  <dcterms:modified xsi:type="dcterms:W3CDTF">2026-06-08T07:46:42Z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D235D4DC293543B79AE710CA50EC034A_13</vt:lpwstr>
  </property>
  <property fmtid="{D5CDD505-2E9C-101B-9397-08002B2CF9AE}" pid="4" name="KSOTemplateDocerSaveRecord">
    <vt:lpwstr>eyJoZGlkIjoiMTNmNmNlMGY2NmQ3OTM5OGIwMzY3MWFkNjBkNWNiMTciLCJ1c2VySWQiOiIzMDQxOTI0NDcifQ==</vt:lpwstr>
  </property>
</Properties>
</file>